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FEE" w:rsidRPr="00C15FEE" w:rsidRDefault="00993DF2" w:rsidP="00C15FEE">
      <w:pPr>
        <w:spacing w:after="0"/>
        <w:rPr>
          <w:sz w:val="18"/>
          <w:szCs w:val="18"/>
        </w:rPr>
      </w:pPr>
      <w:r>
        <w:rPr>
          <w:noProof/>
        </w:rPr>
        <w:drawing>
          <wp:anchor distT="0" distB="0" distL="114300" distR="114300" simplePos="0" relativeHeight="251658240" behindDoc="1" locked="0" layoutInCell="1" allowOverlap="1">
            <wp:simplePos x="0" y="0"/>
            <wp:positionH relativeFrom="column">
              <wp:posOffset>-19685</wp:posOffset>
            </wp:positionH>
            <wp:positionV relativeFrom="paragraph">
              <wp:posOffset>-364490</wp:posOffset>
            </wp:positionV>
            <wp:extent cx="994410" cy="318135"/>
            <wp:effectExtent l="19050" t="0" r="0" b="0"/>
            <wp:wrapTight wrapText="bothSides">
              <wp:wrapPolygon edited="0">
                <wp:start x="-414" y="0"/>
                <wp:lineTo x="-414" y="20695"/>
                <wp:lineTo x="21517" y="20695"/>
                <wp:lineTo x="21517" y="0"/>
                <wp:lineTo x="-414" y="0"/>
              </wp:wrapPolygon>
            </wp:wrapTight>
            <wp:docPr id="1" name="Picture 1" descr="alg wordmark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g wordmark b&amp;w"/>
                    <pic:cNvPicPr>
                      <a:picLocks noChangeAspect="1" noChangeArrowheads="1"/>
                    </pic:cNvPicPr>
                  </pic:nvPicPr>
                  <pic:blipFill>
                    <a:blip r:embed="rId8" cstate="print"/>
                    <a:srcRect/>
                    <a:stretch>
                      <a:fillRect/>
                    </a:stretch>
                  </pic:blipFill>
                  <pic:spPr bwMode="auto">
                    <a:xfrm>
                      <a:off x="0" y="0"/>
                      <a:ext cx="994410" cy="318135"/>
                    </a:xfrm>
                    <a:prstGeom prst="rect">
                      <a:avLst/>
                    </a:prstGeom>
                    <a:noFill/>
                    <a:ln w="9525">
                      <a:noFill/>
                      <a:miter lim="800000"/>
                      <a:headEnd/>
                      <a:tailEnd/>
                    </a:ln>
                  </pic:spPr>
                </pic:pic>
              </a:graphicData>
            </a:graphic>
          </wp:anchor>
        </w:drawing>
      </w:r>
      <w:r w:rsidR="005D51EA">
        <w:rPr>
          <w:sz w:val="36"/>
          <w:szCs w:val="36"/>
        </w:rPr>
        <w:tab/>
      </w:r>
    </w:p>
    <w:p w:rsidR="005D51EA" w:rsidRPr="005D51EA" w:rsidRDefault="00993DF2" w:rsidP="00C15FEE">
      <w:pPr>
        <w:spacing w:after="0"/>
        <w:jc w:val="center"/>
        <w:rPr>
          <w:sz w:val="36"/>
          <w:szCs w:val="36"/>
        </w:rPr>
      </w:pPr>
      <w:r w:rsidRPr="005D51EA">
        <w:rPr>
          <w:rFonts w:ascii="Arial" w:hAnsi="Arial" w:cs="Arial"/>
          <w:b/>
          <w:bCs/>
          <w:color w:val="007600"/>
          <w:sz w:val="28"/>
          <w:szCs w:val="28"/>
        </w:rPr>
        <w:t>The Algonquin Experience</w:t>
      </w:r>
      <w:r w:rsidR="005D51EA" w:rsidRPr="005D51EA">
        <w:rPr>
          <w:rFonts w:ascii="Arial" w:hAnsi="Arial" w:cs="Arial"/>
          <w:b/>
          <w:bCs/>
          <w:color w:val="007600"/>
          <w:sz w:val="28"/>
          <w:szCs w:val="28"/>
        </w:rPr>
        <w:t xml:space="preserve"> Characteristics Checklist</w:t>
      </w:r>
    </w:p>
    <w:p w:rsidR="007856AE" w:rsidRDefault="007856AE" w:rsidP="00C15FEE">
      <w:pPr>
        <w:spacing w:after="0"/>
        <w:ind w:right="-450"/>
        <w:jc w:val="center"/>
        <w:rPr>
          <w:rFonts w:ascii="Arial" w:hAnsi="Arial" w:cs="Arial"/>
          <w:b/>
          <w:sz w:val="16"/>
          <w:szCs w:val="16"/>
        </w:rPr>
      </w:pPr>
    </w:p>
    <w:p w:rsidR="00993DF2" w:rsidRDefault="00993DF2" w:rsidP="00C15FEE">
      <w:pPr>
        <w:spacing w:after="0"/>
        <w:ind w:right="-450"/>
        <w:jc w:val="center"/>
        <w:rPr>
          <w:rFonts w:ascii="Arial" w:hAnsi="Arial" w:cs="Arial"/>
          <w:b/>
          <w:sz w:val="16"/>
          <w:szCs w:val="16"/>
          <w:u w:val="single"/>
        </w:rPr>
      </w:pPr>
      <w:r>
        <w:rPr>
          <w:rFonts w:ascii="Arial" w:hAnsi="Arial" w:cs="Arial"/>
          <w:b/>
          <w:sz w:val="28"/>
          <w:szCs w:val="28"/>
        </w:rPr>
        <w:t>Program</w:t>
      </w:r>
      <w:r w:rsidR="005D51EA">
        <w:rPr>
          <w:rFonts w:ascii="Arial" w:hAnsi="Arial" w:cs="Arial"/>
          <w:b/>
          <w:sz w:val="28"/>
          <w:szCs w:val="28"/>
        </w:rPr>
        <w:t xml:space="preserve"> Title</w:t>
      </w:r>
      <w:r>
        <w:rPr>
          <w:rFonts w:ascii="Arial" w:hAnsi="Arial" w:cs="Arial"/>
          <w:b/>
          <w:sz w:val="28"/>
          <w:szCs w:val="28"/>
        </w:rPr>
        <w:t>:</w:t>
      </w:r>
      <w:r w:rsidR="00954FA2">
        <w:rPr>
          <w:rFonts w:ascii="Arial" w:hAnsi="Arial" w:cs="Arial"/>
          <w:b/>
          <w:sz w:val="28"/>
          <w:szCs w:val="28"/>
        </w:rPr>
        <w:t xml:space="preserve"> </w:t>
      </w:r>
      <w:r w:rsidR="00954FA2" w:rsidRPr="00C15FEE">
        <w:rPr>
          <w:rFonts w:ascii="Arial" w:hAnsi="Arial" w:cs="Arial"/>
          <w:b/>
          <w:sz w:val="28"/>
          <w:szCs w:val="28"/>
          <w:u w:val="single"/>
        </w:rPr>
        <w:t>&lt;insert program title here&gt;</w:t>
      </w:r>
    </w:p>
    <w:p w:rsidR="00C15FEE" w:rsidRPr="00C15FEE" w:rsidRDefault="00C15FEE" w:rsidP="00C15FEE">
      <w:pPr>
        <w:spacing w:after="0"/>
        <w:ind w:right="-450"/>
        <w:jc w:val="center"/>
        <w:rPr>
          <w:rFonts w:ascii="Arial" w:hAnsi="Arial" w:cs="Arial"/>
          <w:b/>
          <w:sz w:val="16"/>
          <w:szCs w:val="16"/>
        </w:rPr>
      </w:pPr>
    </w:p>
    <w:tbl>
      <w:tblPr>
        <w:tblStyle w:val="TableGrid"/>
        <w:tblW w:w="10620" w:type="dxa"/>
        <w:tblInd w:w="18" w:type="dxa"/>
        <w:tblLayout w:type="fixed"/>
        <w:tblLook w:val="04A0"/>
      </w:tblPr>
      <w:tblGrid>
        <w:gridCol w:w="6840"/>
        <w:gridCol w:w="3780"/>
      </w:tblGrid>
      <w:tr w:rsidR="007856AE" w:rsidTr="007856AE">
        <w:trPr>
          <w:trHeight w:val="708"/>
          <w:tblHeader/>
        </w:trPr>
        <w:tc>
          <w:tcPr>
            <w:tcW w:w="6840" w:type="dxa"/>
            <w:tcBorders>
              <w:top w:val="threeDEngrave" w:sz="24" w:space="0" w:color="auto"/>
              <w:left w:val="threeDEngrave" w:sz="24" w:space="0" w:color="auto"/>
              <w:bottom w:val="threeDEngrave" w:sz="24" w:space="0" w:color="auto"/>
              <w:right w:val="threeDEngrave" w:sz="24" w:space="0" w:color="auto"/>
            </w:tcBorders>
          </w:tcPr>
          <w:p w:rsidR="007856AE" w:rsidRPr="00C15FEE" w:rsidRDefault="007856AE">
            <w:pPr>
              <w:rPr>
                <w:rFonts w:ascii="Arial" w:hAnsi="Arial" w:cs="Arial"/>
                <w:b/>
                <w:sz w:val="24"/>
                <w:szCs w:val="24"/>
              </w:rPr>
            </w:pPr>
            <w:r w:rsidRPr="00C15FEE">
              <w:rPr>
                <w:rFonts w:ascii="Arial" w:hAnsi="Arial" w:cs="Arial"/>
                <w:b/>
                <w:sz w:val="24"/>
                <w:szCs w:val="24"/>
              </w:rPr>
              <w:t>Characteristic</w:t>
            </w:r>
          </w:p>
        </w:tc>
        <w:tc>
          <w:tcPr>
            <w:tcW w:w="3780" w:type="dxa"/>
            <w:tcBorders>
              <w:top w:val="threeDEngrave" w:sz="24" w:space="0" w:color="auto"/>
              <w:left w:val="threeDEngrave" w:sz="24" w:space="0" w:color="auto"/>
              <w:bottom w:val="threeDEngrave" w:sz="24" w:space="0" w:color="auto"/>
              <w:right w:val="threeDEngrave" w:sz="24" w:space="0" w:color="auto"/>
            </w:tcBorders>
          </w:tcPr>
          <w:p w:rsidR="007856AE" w:rsidRDefault="007856AE">
            <w:pPr>
              <w:rPr>
                <w:rFonts w:ascii="Arial" w:hAnsi="Arial" w:cs="Arial"/>
                <w:b/>
                <w:sz w:val="24"/>
                <w:szCs w:val="24"/>
              </w:rPr>
            </w:pPr>
            <w:r w:rsidRPr="00C15FEE">
              <w:rPr>
                <w:rFonts w:ascii="Arial" w:hAnsi="Arial" w:cs="Arial"/>
                <w:b/>
                <w:sz w:val="24"/>
                <w:szCs w:val="24"/>
              </w:rPr>
              <w:t>Activity</w:t>
            </w:r>
            <w:r>
              <w:rPr>
                <w:rFonts w:ascii="Arial" w:hAnsi="Arial" w:cs="Arial"/>
                <w:b/>
                <w:sz w:val="24"/>
                <w:szCs w:val="24"/>
              </w:rPr>
              <w:t xml:space="preserve"> </w:t>
            </w:r>
          </w:p>
          <w:p w:rsidR="007856AE" w:rsidRPr="00C15FEE" w:rsidRDefault="007856AE">
            <w:pPr>
              <w:rPr>
                <w:rFonts w:ascii="Arial" w:hAnsi="Arial" w:cs="Arial"/>
                <w:i/>
              </w:rPr>
            </w:pPr>
            <w:r w:rsidRPr="00C15FEE">
              <w:rPr>
                <w:rFonts w:ascii="Arial" w:hAnsi="Arial" w:cs="Arial"/>
                <w:i/>
              </w:rPr>
              <w:t>(please describe)</w:t>
            </w:r>
          </w:p>
          <w:p w:rsidR="007856AE" w:rsidRPr="00C15FEE" w:rsidRDefault="007856AE">
            <w:pPr>
              <w:rPr>
                <w:rFonts w:ascii="Arial" w:hAnsi="Arial" w:cs="Arial"/>
                <w:b/>
                <w:sz w:val="24"/>
                <w:szCs w:val="24"/>
              </w:rPr>
            </w:pPr>
          </w:p>
        </w:tc>
      </w:tr>
      <w:tr w:rsidR="007856AE" w:rsidTr="007856AE">
        <w:tc>
          <w:tcPr>
            <w:tcW w:w="6840" w:type="dxa"/>
            <w:tcBorders>
              <w:top w:val="threeDEngrave" w:sz="24" w:space="0" w:color="auto"/>
              <w:left w:val="threeDEngrave" w:sz="12" w:space="0" w:color="auto"/>
              <w:right w:val="threeDEngrave" w:sz="12" w:space="0" w:color="auto"/>
            </w:tcBorders>
          </w:tcPr>
          <w:p w:rsidR="007856AE" w:rsidRPr="005D51EA" w:rsidRDefault="007856AE" w:rsidP="00993DF2">
            <w:pPr>
              <w:autoSpaceDE w:val="0"/>
              <w:autoSpaceDN w:val="0"/>
              <w:adjustRightInd w:val="0"/>
              <w:rPr>
                <w:rFonts w:ascii="Arial" w:hAnsi="Arial" w:cs="Arial"/>
                <w:b/>
                <w:bCs/>
                <w:color w:val="007600"/>
                <w:sz w:val="20"/>
                <w:szCs w:val="20"/>
              </w:rPr>
            </w:pPr>
            <w:r w:rsidRPr="005D51EA">
              <w:rPr>
                <w:rFonts w:ascii="Arial" w:hAnsi="Arial" w:cs="Arial"/>
                <w:b/>
                <w:bCs/>
                <w:color w:val="007600"/>
                <w:sz w:val="20"/>
                <w:szCs w:val="20"/>
              </w:rPr>
              <w:t>1. Integrated</w:t>
            </w:r>
          </w:p>
          <w:p w:rsidR="007856AE" w:rsidRPr="005D51EA" w:rsidRDefault="007856AE" w:rsidP="00993DF2">
            <w:pPr>
              <w:autoSpaceDE w:val="0"/>
              <w:autoSpaceDN w:val="0"/>
              <w:adjustRightInd w:val="0"/>
              <w:rPr>
                <w:rFonts w:ascii="Arial" w:hAnsi="Arial" w:cs="Arial"/>
                <w:color w:val="333333"/>
                <w:sz w:val="20"/>
                <w:szCs w:val="20"/>
              </w:rPr>
            </w:pPr>
            <w:r w:rsidRPr="005D51EA">
              <w:rPr>
                <w:rFonts w:ascii="Arial" w:hAnsi="Arial" w:cs="Arial"/>
                <w:color w:val="333333"/>
                <w:sz w:val="20"/>
                <w:szCs w:val="20"/>
              </w:rPr>
              <w:t>Building on existing connections already in place, expand Algonquin’s partnerships with local businesses and community organizations across all College programs to ensure the relevance of programming and optimal job preparedness of graduates. These connections focus on expanding applied research activities to involve a greater number of programs, students, faculty and partners, leveraging provincial</w:t>
            </w:r>
          </w:p>
          <w:p w:rsidR="007856AE" w:rsidRPr="005D51EA" w:rsidRDefault="007856AE" w:rsidP="00993DF2">
            <w:pPr>
              <w:autoSpaceDE w:val="0"/>
              <w:autoSpaceDN w:val="0"/>
              <w:adjustRightInd w:val="0"/>
              <w:rPr>
                <w:rFonts w:ascii="Arial" w:hAnsi="Arial" w:cs="Arial"/>
                <w:color w:val="333333"/>
                <w:sz w:val="20"/>
                <w:szCs w:val="20"/>
              </w:rPr>
            </w:pPr>
            <w:proofErr w:type="gramStart"/>
            <w:r w:rsidRPr="005D51EA">
              <w:rPr>
                <w:rFonts w:ascii="Arial" w:hAnsi="Arial" w:cs="Arial"/>
                <w:color w:val="333333"/>
                <w:sz w:val="20"/>
                <w:szCs w:val="20"/>
              </w:rPr>
              <w:t>funding</w:t>
            </w:r>
            <w:proofErr w:type="gramEnd"/>
            <w:r w:rsidRPr="005D51EA">
              <w:rPr>
                <w:rFonts w:ascii="Arial" w:hAnsi="Arial" w:cs="Arial"/>
                <w:color w:val="333333"/>
                <w:sz w:val="20"/>
                <w:szCs w:val="20"/>
              </w:rPr>
              <w:t xml:space="preserve"> to expand apprenticeship and, enhancing business representation on advisory committees for relevant input to program curricula.</w:t>
            </w:r>
          </w:p>
        </w:tc>
        <w:tc>
          <w:tcPr>
            <w:tcW w:w="3780" w:type="dxa"/>
            <w:tcBorders>
              <w:top w:val="threeDEngrave" w:sz="24" w:space="0" w:color="auto"/>
              <w:left w:val="threeDEngrave" w:sz="12" w:space="0" w:color="auto"/>
              <w:right w:val="threeDEngrave" w:sz="12" w:space="0" w:color="auto"/>
            </w:tcBorders>
          </w:tcPr>
          <w:p w:rsidR="007856AE" w:rsidRPr="003D0FF0" w:rsidRDefault="007856AE" w:rsidP="002C61B4">
            <w:pPr>
              <w:rPr>
                <w:rFonts w:ascii="Arial" w:hAnsi="Arial" w:cs="Arial"/>
                <w:sz w:val="20"/>
                <w:szCs w:val="20"/>
              </w:rPr>
            </w:pPr>
          </w:p>
        </w:tc>
      </w:tr>
      <w:tr w:rsidR="007856AE" w:rsidTr="007856AE">
        <w:tc>
          <w:tcPr>
            <w:tcW w:w="6840" w:type="dxa"/>
            <w:tcBorders>
              <w:left w:val="threeDEngrave" w:sz="12" w:space="0" w:color="auto"/>
              <w:right w:val="threeDEngrave" w:sz="12" w:space="0" w:color="auto"/>
            </w:tcBorders>
          </w:tcPr>
          <w:p w:rsidR="007856AE" w:rsidRPr="004F71CD" w:rsidRDefault="007856AE" w:rsidP="00993DF2">
            <w:pPr>
              <w:autoSpaceDE w:val="0"/>
              <w:autoSpaceDN w:val="0"/>
              <w:adjustRightInd w:val="0"/>
              <w:rPr>
                <w:rFonts w:ascii="Arial" w:hAnsi="Arial" w:cs="Arial"/>
                <w:b/>
                <w:bCs/>
                <w:color w:val="007600"/>
                <w:sz w:val="20"/>
                <w:szCs w:val="20"/>
              </w:rPr>
            </w:pPr>
            <w:r w:rsidRPr="004F71CD">
              <w:rPr>
                <w:rFonts w:ascii="Arial" w:hAnsi="Arial" w:cs="Arial"/>
                <w:b/>
                <w:bCs/>
                <w:color w:val="007600"/>
                <w:sz w:val="20"/>
                <w:szCs w:val="20"/>
              </w:rPr>
              <w:t>2. Experiential</w:t>
            </w:r>
          </w:p>
          <w:p w:rsidR="007856AE" w:rsidRPr="004F71CD" w:rsidRDefault="007856AE" w:rsidP="00993DF2">
            <w:pPr>
              <w:autoSpaceDE w:val="0"/>
              <w:autoSpaceDN w:val="0"/>
              <w:adjustRightInd w:val="0"/>
              <w:rPr>
                <w:rFonts w:ascii="Arial" w:hAnsi="Arial" w:cs="Arial"/>
                <w:color w:val="333333"/>
                <w:sz w:val="20"/>
                <w:szCs w:val="20"/>
              </w:rPr>
            </w:pPr>
            <w:r w:rsidRPr="004F71CD">
              <w:rPr>
                <w:rFonts w:ascii="Arial" w:hAnsi="Arial" w:cs="Arial"/>
                <w:color w:val="333333"/>
                <w:sz w:val="20"/>
                <w:szCs w:val="20"/>
              </w:rPr>
              <w:t>In tandem with integration efforts, expand student involvement in the community through enhanced opportunities for co-operative education, field work, field or clinical placement, service learning, simulation exercises, international learning opportunities, and volunteerism.</w:t>
            </w:r>
          </w:p>
        </w:tc>
        <w:tc>
          <w:tcPr>
            <w:tcW w:w="3780" w:type="dxa"/>
            <w:tcBorders>
              <w:left w:val="threeDEngrave" w:sz="12" w:space="0" w:color="auto"/>
              <w:right w:val="threeDEngrave" w:sz="12" w:space="0" w:color="auto"/>
            </w:tcBorders>
          </w:tcPr>
          <w:p w:rsidR="007856AE" w:rsidRPr="004F71CD" w:rsidRDefault="007856AE" w:rsidP="002C61B4">
            <w:pPr>
              <w:rPr>
                <w:rFonts w:ascii="Arial" w:hAnsi="Arial" w:cs="Arial"/>
                <w:sz w:val="20"/>
                <w:szCs w:val="20"/>
              </w:rPr>
            </w:pPr>
          </w:p>
        </w:tc>
      </w:tr>
      <w:tr w:rsidR="007856AE" w:rsidTr="007856AE">
        <w:tc>
          <w:tcPr>
            <w:tcW w:w="6840" w:type="dxa"/>
            <w:tcBorders>
              <w:left w:val="threeDEngrave" w:sz="12" w:space="0" w:color="auto"/>
              <w:right w:val="threeDEngrave" w:sz="12" w:space="0" w:color="auto"/>
            </w:tcBorders>
          </w:tcPr>
          <w:p w:rsidR="007856AE" w:rsidRPr="005D51EA" w:rsidRDefault="007856AE" w:rsidP="00993DF2">
            <w:pPr>
              <w:autoSpaceDE w:val="0"/>
              <w:autoSpaceDN w:val="0"/>
              <w:adjustRightInd w:val="0"/>
              <w:rPr>
                <w:rFonts w:ascii="Arial" w:hAnsi="Arial" w:cs="Arial"/>
                <w:b/>
                <w:bCs/>
                <w:color w:val="007600"/>
                <w:sz w:val="20"/>
                <w:szCs w:val="20"/>
              </w:rPr>
            </w:pPr>
            <w:r w:rsidRPr="005D51EA">
              <w:rPr>
                <w:rFonts w:ascii="Arial" w:hAnsi="Arial" w:cs="Arial"/>
                <w:b/>
                <w:bCs/>
                <w:color w:val="007600"/>
                <w:sz w:val="20"/>
                <w:szCs w:val="20"/>
              </w:rPr>
              <w:t>3. Technologically Advanced</w:t>
            </w:r>
          </w:p>
          <w:p w:rsidR="007856AE" w:rsidRPr="005D51EA" w:rsidRDefault="007856AE" w:rsidP="00993DF2">
            <w:pPr>
              <w:autoSpaceDE w:val="0"/>
              <w:autoSpaceDN w:val="0"/>
              <w:adjustRightInd w:val="0"/>
              <w:rPr>
                <w:rFonts w:ascii="Arial" w:hAnsi="Arial" w:cs="Arial"/>
                <w:color w:val="333333"/>
                <w:sz w:val="20"/>
                <w:szCs w:val="20"/>
              </w:rPr>
            </w:pPr>
            <w:r w:rsidRPr="005D51EA">
              <w:rPr>
                <w:rFonts w:ascii="Arial" w:hAnsi="Arial" w:cs="Arial"/>
                <w:color w:val="333333"/>
                <w:sz w:val="20"/>
                <w:szCs w:val="20"/>
              </w:rPr>
              <w:t>Enhance the tools of learning and modes of delivery available to students, including increasing the number courses delivered in the hybrid (online/in-class) format across all programs and introducing a virtual (i.e., online) campus that offers students in Ontario and around the world greater, more flexible access to Algonquin programs.</w:t>
            </w:r>
          </w:p>
        </w:tc>
        <w:tc>
          <w:tcPr>
            <w:tcW w:w="3780" w:type="dxa"/>
            <w:tcBorders>
              <w:left w:val="threeDEngrave" w:sz="12" w:space="0" w:color="auto"/>
              <w:right w:val="threeDEngrave" w:sz="12" w:space="0" w:color="auto"/>
            </w:tcBorders>
          </w:tcPr>
          <w:p w:rsidR="007856AE" w:rsidRDefault="007856AE" w:rsidP="002C61B4">
            <w:pPr>
              <w:rPr>
                <w:rFonts w:ascii="Arial" w:hAnsi="Arial" w:cs="Arial"/>
                <w:b/>
                <w:sz w:val="28"/>
                <w:szCs w:val="28"/>
              </w:rPr>
            </w:pPr>
          </w:p>
        </w:tc>
      </w:tr>
      <w:tr w:rsidR="007856AE" w:rsidTr="007856AE">
        <w:tc>
          <w:tcPr>
            <w:tcW w:w="6840" w:type="dxa"/>
            <w:tcBorders>
              <w:left w:val="threeDEngrave" w:sz="12" w:space="0" w:color="auto"/>
              <w:right w:val="threeDEngrave" w:sz="12" w:space="0" w:color="auto"/>
            </w:tcBorders>
          </w:tcPr>
          <w:p w:rsidR="007856AE" w:rsidRPr="005D51EA" w:rsidRDefault="007856AE" w:rsidP="00993DF2">
            <w:pPr>
              <w:autoSpaceDE w:val="0"/>
              <w:autoSpaceDN w:val="0"/>
              <w:adjustRightInd w:val="0"/>
              <w:rPr>
                <w:rFonts w:ascii="Arial" w:hAnsi="Arial" w:cs="Arial"/>
                <w:b/>
                <w:bCs/>
                <w:color w:val="007600"/>
                <w:sz w:val="20"/>
                <w:szCs w:val="20"/>
              </w:rPr>
            </w:pPr>
            <w:r w:rsidRPr="005D51EA">
              <w:rPr>
                <w:rFonts w:ascii="Arial" w:hAnsi="Arial" w:cs="Arial"/>
                <w:b/>
                <w:bCs/>
                <w:color w:val="007600"/>
                <w:sz w:val="20"/>
                <w:szCs w:val="20"/>
              </w:rPr>
              <w:t>4. Connected</w:t>
            </w:r>
          </w:p>
          <w:p w:rsidR="007856AE" w:rsidRPr="005D51EA" w:rsidRDefault="007856AE" w:rsidP="00993DF2">
            <w:pPr>
              <w:autoSpaceDE w:val="0"/>
              <w:autoSpaceDN w:val="0"/>
              <w:adjustRightInd w:val="0"/>
              <w:rPr>
                <w:rFonts w:ascii="Arial" w:hAnsi="Arial" w:cs="Arial"/>
                <w:color w:val="333333"/>
                <w:sz w:val="20"/>
                <w:szCs w:val="20"/>
              </w:rPr>
            </w:pPr>
            <w:r w:rsidRPr="005D51EA">
              <w:rPr>
                <w:rFonts w:ascii="Arial" w:hAnsi="Arial" w:cs="Arial"/>
                <w:color w:val="333333"/>
                <w:sz w:val="20"/>
                <w:szCs w:val="20"/>
              </w:rPr>
              <w:t xml:space="preserve">Increase the number of </w:t>
            </w:r>
            <w:proofErr w:type="spellStart"/>
            <w:r w:rsidRPr="005D51EA">
              <w:rPr>
                <w:rFonts w:ascii="Arial" w:hAnsi="Arial" w:cs="Arial"/>
                <w:color w:val="333333"/>
                <w:sz w:val="20"/>
                <w:szCs w:val="20"/>
              </w:rPr>
              <w:t>interprofessional</w:t>
            </w:r>
            <w:proofErr w:type="spellEnd"/>
            <w:r w:rsidRPr="005D51EA">
              <w:rPr>
                <w:rFonts w:ascii="Arial" w:hAnsi="Arial" w:cs="Arial"/>
                <w:color w:val="333333"/>
                <w:sz w:val="20"/>
                <w:szCs w:val="20"/>
              </w:rPr>
              <w:t xml:space="preserve"> educational opportunities across the College to offer students a greater amount of interdisciplinary exposure as a reflection of the evolving workplace.</w:t>
            </w:r>
          </w:p>
        </w:tc>
        <w:tc>
          <w:tcPr>
            <w:tcW w:w="3780" w:type="dxa"/>
            <w:tcBorders>
              <w:left w:val="threeDEngrave" w:sz="12" w:space="0" w:color="auto"/>
              <w:right w:val="threeDEngrave" w:sz="12" w:space="0" w:color="auto"/>
            </w:tcBorders>
          </w:tcPr>
          <w:p w:rsidR="007856AE" w:rsidRPr="004F71CD" w:rsidRDefault="007856AE" w:rsidP="002C61B4">
            <w:pPr>
              <w:rPr>
                <w:rFonts w:ascii="Arial" w:hAnsi="Arial" w:cs="Arial"/>
                <w:sz w:val="20"/>
                <w:szCs w:val="20"/>
              </w:rPr>
            </w:pPr>
          </w:p>
        </w:tc>
      </w:tr>
      <w:tr w:rsidR="007856AE" w:rsidTr="007856AE">
        <w:tc>
          <w:tcPr>
            <w:tcW w:w="6840" w:type="dxa"/>
            <w:tcBorders>
              <w:left w:val="threeDEngrave" w:sz="12" w:space="0" w:color="auto"/>
              <w:right w:val="threeDEngrave" w:sz="12" w:space="0" w:color="auto"/>
            </w:tcBorders>
          </w:tcPr>
          <w:p w:rsidR="007856AE" w:rsidRPr="005D51EA" w:rsidRDefault="007856AE" w:rsidP="00993DF2">
            <w:pPr>
              <w:autoSpaceDE w:val="0"/>
              <w:autoSpaceDN w:val="0"/>
              <w:adjustRightInd w:val="0"/>
              <w:rPr>
                <w:rFonts w:ascii="Arial" w:hAnsi="Arial" w:cs="Arial"/>
                <w:b/>
                <w:bCs/>
                <w:color w:val="007600"/>
                <w:sz w:val="20"/>
                <w:szCs w:val="20"/>
              </w:rPr>
            </w:pPr>
            <w:r w:rsidRPr="005D51EA">
              <w:rPr>
                <w:rFonts w:ascii="Arial" w:hAnsi="Arial" w:cs="Arial"/>
                <w:b/>
                <w:bCs/>
                <w:color w:val="007600"/>
                <w:sz w:val="20"/>
                <w:szCs w:val="20"/>
              </w:rPr>
              <w:t>5. Global</w:t>
            </w:r>
          </w:p>
          <w:p w:rsidR="007856AE" w:rsidRPr="005D51EA" w:rsidRDefault="007856AE" w:rsidP="00993DF2">
            <w:pPr>
              <w:autoSpaceDE w:val="0"/>
              <w:autoSpaceDN w:val="0"/>
              <w:adjustRightInd w:val="0"/>
              <w:rPr>
                <w:rFonts w:ascii="Arial" w:hAnsi="Arial" w:cs="Arial"/>
                <w:color w:val="333333"/>
                <w:sz w:val="20"/>
                <w:szCs w:val="20"/>
              </w:rPr>
            </w:pPr>
            <w:r w:rsidRPr="005D51EA">
              <w:rPr>
                <w:rFonts w:ascii="Arial" w:hAnsi="Arial" w:cs="Arial"/>
                <w:color w:val="333333"/>
                <w:sz w:val="20"/>
                <w:szCs w:val="20"/>
              </w:rPr>
              <w:t>Increase the number of international work and study exchange opportunities available to students across all programs to ensure students are fully prepared to operate in the global marketplace and</w:t>
            </w:r>
          </w:p>
          <w:p w:rsidR="007856AE" w:rsidRPr="005D51EA" w:rsidRDefault="007856AE" w:rsidP="00993DF2">
            <w:pPr>
              <w:autoSpaceDE w:val="0"/>
              <w:autoSpaceDN w:val="0"/>
              <w:adjustRightInd w:val="0"/>
              <w:rPr>
                <w:rFonts w:ascii="Arial" w:hAnsi="Arial" w:cs="Arial"/>
                <w:color w:val="333333"/>
                <w:sz w:val="20"/>
                <w:szCs w:val="20"/>
              </w:rPr>
            </w:pPr>
            <w:proofErr w:type="gramStart"/>
            <w:r w:rsidRPr="005D51EA">
              <w:rPr>
                <w:rFonts w:ascii="Arial" w:hAnsi="Arial" w:cs="Arial"/>
                <w:color w:val="333333"/>
                <w:sz w:val="20"/>
                <w:szCs w:val="20"/>
              </w:rPr>
              <w:t>comfortable</w:t>
            </w:r>
            <w:proofErr w:type="gramEnd"/>
            <w:r w:rsidRPr="005D51EA">
              <w:rPr>
                <w:rFonts w:ascii="Arial" w:hAnsi="Arial" w:cs="Arial"/>
                <w:color w:val="333333"/>
                <w:sz w:val="20"/>
                <w:szCs w:val="20"/>
              </w:rPr>
              <w:t xml:space="preserve"> interacting with other cultures. In addition, embed internationalization learning outcomes</w:t>
            </w:r>
          </w:p>
          <w:p w:rsidR="007856AE" w:rsidRPr="005D51EA" w:rsidRDefault="007856AE" w:rsidP="00993DF2">
            <w:pPr>
              <w:autoSpaceDE w:val="0"/>
              <w:autoSpaceDN w:val="0"/>
              <w:adjustRightInd w:val="0"/>
              <w:rPr>
                <w:rFonts w:ascii="Arial" w:hAnsi="Arial" w:cs="Arial"/>
                <w:color w:val="333333"/>
                <w:sz w:val="20"/>
                <w:szCs w:val="20"/>
              </w:rPr>
            </w:pPr>
            <w:proofErr w:type="gramStart"/>
            <w:r w:rsidRPr="005D51EA">
              <w:rPr>
                <w:rFonts w:ascii="Arial" w:hAnsi="Arial" w:cs="Arial"/>
                <w:color w:val="333333"/>
                <w:sz w:val="20"/>
                <w:szCs w:val="20"/>
              </w:rPr>
              <w:t>into</w:t>
            </w:r>
            <w:proofErr w:type="gramEnd"/>
            <w:r w:rsidRPr="005D51EA">
              <w:rPr>
                <w:rFonts w:ascii="Arial" w:hAnsi="Arial" w:cs="Arial"/>
                <w:color w:val="333333"/>
                <w:sz w:val="20"/>
                <w:szCs w:val="20"/>
              </w:rPr>
              <w:t xml:space="preserve"> College curricula.</w:t>
            </w:r>
          </w:p>
        </w:tc>
        <w:tc>
          <w:tcPr>
            <w:tcW w:w="3780" w:type="dxa"/>
            <w:tcBorders>
              <w:left w:val="threeDEngrave" w:sz="12" w:space="0" w:color="auto"/>
              <w:right w:val="threeDEngrave" w:sz="12" w:space="0" w:color="auto"/>
            </w:tcBorders>
          </w:tcPr>
          <w:p w:rsidR="007856AE" w:rsidRPr="004F71CD" w:rsidRDefault="007856AE" w:rsidP="002C61B4">
            <w:pPr>
              <w:rPr>
                <w:rFonts w:ascii="Arial" w:hAnsi="Arial" w:cs="Arial"/>
                <w:sz w:val="20"/>
                <w:szCs w:val="20"/>
              </w:rPr>
            </w:pPr>
          </w:p>
        </w:tc>
      </w:tr>
      <w:tr w:rsidR="007856AE" w:rsidTr="007856AE">
        <w:tc>
          <w:tcPr>
            <w:tcW w:w="6840" w:type="dxa"/>
            <w:tcBorders>
              <w:left w:val="threeDEngrave" w:sz="12" w:space="0" w:color="auto"/>
              <w:right w:val="threeDEngrave" w:sz="12" w:space="0" w:color="auto"/>
            </w:tcBorders>
          </w:tcPr>
          <w:p w:rsidR="007856AE" w:rsidRPr="005D51EA" w:rsidRDefault="007856AE" w:rsidP="00993DF2">
            <w:pPr>
              <w:autoSpaceDE w:val="0"/>
              <w:autoSpaceDN w:val="0"/>
              <w:adjustRightInd w:val="0"/>
              <w:rPr>
                <w:rFonts w:ascii="Arial" w:hAnsi="Arial" w:cs="Arial"/>
                <w:b/>
                <w:bCs/>
                <w:color w:val="007600"/>
                <w:sz w:val="20"/>
                <w:szCs w:val="20"/>
              </w:rPr>
            </w:pPr>
            <w:r w:rsidRPr="005D51EA">
              <w:rPr>
                <w:rFonts w:ascii="Arial" w:hAnsi="Arial" w:cs="Arial"/>
                <w:b/>
                <w:bCs/>
                <w:color w:val="007600"/>
                <w:sz w:val="20"/>
                <w:szCs w:val="20"/>
              </w:rPr>
              <w:t>6. Sustainable</w:t>
            </w:r>
          </w:p>
          <w:p w:rsidR="007856AE" w:rsidRPr="005D51EA" w:rsidRDefault="007856AE" w:rsidP="00993DF2">
            <w:pPr>
              <w:autoSpaceDE w:val="0"/>
              <w:autoSpaceDN w:val="0"/>
              <w:adjustRightInd w:val="0"/>
              <w:rPr>
                <w:rFonts w:ascii="Arial" w:hAnsi="Arial" w:cs="Arial"/>
                <w:color w:val="333333"/>
                <w:sz w:val="20"/>
                <w:szCs w:val="20"/>
              </w:rPr>
            </w:pPr>
            <w:r w:rsidRPr="005D51EA">
              <w:rPr>
                <w:rFonts w:ascii="Arial" w:hAnsi="Arial" w:cs="Arial"/>
                <w:color w:val="333333"/>
                <w:sz w:val="20"/>
                <w:szCs w:val="20"/>
              </w:rPr>
              <w:t>As a good corporate citizen, embed sustainability into College programming itself and, where applicable, into learning outcomes.</w:t>
            </w:r>
          </w:p>
        </w:tc>
        <w:tc>
          <w:tcPr>
            <w:tcW w:w="3780" w:type="dxa"/>
            <w:tcBorders>
              <w:left w:val="threeDEngrave" w:sz="12" w:space="0" w:color="auto"/>
              <w:right w:val="threeDEngrave" w:sz="12" w:space="0" w:color="auto"/>
            </w:tcBorders>
          </w:tcPr>
          <w:p w:rsidR="007856AE" w:rsidRPr="004F71CD" w:rsidRDefault="007856AE" w:rsidP="002C61B4">
            <w:pPr>
              <w:rPr>
                <w:rFonts w:ascii="Arial" w:hAnsi="Arial" w:cs="Arial"/>
                <w:sz w:val="20"/>
                <w:szCs w:val="20"/>
              </w:rPr>
            </w:pPr>
          </w:p>
        </w:tc>
      </w:tr>
      <w:tr w:rsidR="007856AE" w:rsidTr="007856AE">
        <w:tc>
          <w:tcPr>
            <w:tcW w:w="6840" w:type="dxa"/>
            <w:tcBorders>
              <w:left w:val="threeDEngrave" w:sz="12" w:space="0" w:color="auto"/>
              <w:bottom w:val="threeDEngrave" w:sz="12" w:space="0" w:color="auto"/>
              <w:right w:val="threeDEngrave" w:sz="12" w:space="0" w:color="auto"/>
            </w:tcBorders>
          </w:tcPr>
          <w:p w:rsidR="007856AE" w:rsidRPr="005D51EA" w:rsidRDefault="007856AE" w:rsidP="00993DF2">
            <w:pPr>
              <w:autoSpaceDE w:val="0"/>
              <w:autoSpaceDN w:val="0"/>
              <w:adjustRightInd w:val="0"/>
              <w:rPr>
                <w:rFonts w:ascii="Arial" w:hAnsi="Arial" w:cs="Arial"/>
                <w:b/>
                <w:bCs/>
                <w:color w:val="007600"/>
                <w:sz w:val="20"/>
                <w:szCs w:val="20"/>
              </w:rPr>
            </w:pPr>
            <w:r w:rsidRPr="005D51EA">
              <w:rPr>
                <w:rFonts w:ascii="Arial" w:hAnsi="Arial" w:cs="Arial"/>
                <w:b/>
                <w:bCs/>
                <w:color w:val="007600"/>
                <w:sz w:val="20"/>
                <w:szCs w:val="20"/>
              </w:rPr>
              <w:t>7. Flexible</w:t>
            </w:r>
          </w:p>
          <w:p w:rsidR="007856AE" w:rsidRPr="005D51EA" w:rsidRDefault="007856AE" w:rsidP="005D51EA">
            <w:pPr>
              <w:autoSpaceDE w:val="0"/>
              <w:autoSpaceDN w:val="0"/>
              <w:adjustRightInd w:val="0"/>
              <w:rPr>
                <w:rFonts w:ascii="Arial" w:hAnsi="Arial" w:cs="Arial"/>
                <w:color w:val="333333"/>
                <w:sz w:val="20"/>
                <w:szCs w:val="20"/>
              </w:rPr>
            </w:pPr>
            <w:r w:rsidRPr="005D51EA">
              <w:rPr>
                <w:rFonts w:ascii="Arial" w:hAnsi="Arial" w:cs="Arial"/>
                <w:color w:val="333333"/>
                <w:sz w:val="20"/>
                <w:szCs w:val="20"/>
              </w:rPr>
              <w:t>Transform the College’s approach to programming to ensure it is more consistently relevant to industry trends and student demand, for example, by offering an expanded range of degree programs developed in collaboration with universities, and more graduate certificate options. Facilitate laddering from one program to another for existing students so they can easily advance their educations. Ensure</w:t>
            </w:r>
            <w:r>
              <w:rPr>
                <w:rFonts w:ascii="Arial" w:hAnsi="Arial" w:cs="Arial"/>
                <w:color w:val="333333"/>
                <w:sz w:val="20"/>
                <w:szCs w:val="20"/>
              </w:rPr>
              <w:t xml:space="preserve"> </w:t>
            </w:r>
            <w:r w:rsidRPr="005D51EA">
              <w:rPr>
                <w:rFonts w:ascii="Arial" w:hAnsi="Arial" w:cs="Arial"/>
                <w:color w:val="333333"/>
                <w:sz w:val="20"/>
                <w:szCs w:val="20"/>
              </w:rPr>
              <w:t>also that programs are planned and structured in a way that reflects the experience Algonquin intends to offer all students, and adopt greater flexibility in program planning to maximize space usage, expand learning timetable an</w:t>
            </w:r>
            <w:r>
              <w:rPr>
                <w:rFonts w:ascii="Univers-Condensed" w:hAnsi="Univers-Condensed" w:cs="Univers-Condensed"/>
                <w:color w:val="333333"/>
                <w:sz w:val="20"/>
                <w:szCs w:val="20"/>
              </w:rPr>
              <w:t xml:space="preserve">d increase the number </w:t>
            </w:r>
            <w:r w:rsidRPr="005D51EA">
              <w:rPr>
                <w:rFonts w:ascii="Univers-Condensed" w:hAnsi="Univers-Condensed" w:cs="Univers-Condensed"/>
                <w:color w:val="333333"/>
                <w:sz w:val="20"/>
                <w:szCs w:val="20"/>
              </w:rPr>
              <w:t>of intake periods.</w:t>
            </w:r>
          </w:p>
        </w:tc>
        <w:tc>
          <w:tcPr>
            <w:tcW w:w="3780" w:type="dxa"/>
            <w:tcBorders>
              <w:left w:val="threeDEngrave" w:sz="12" w:space="0" w:color="auto"/>
              <w:bottom w:val="threeDEngrave" w:sz="12" w:space="0" w:color="auto"/>
              <w:right w:val="threeDEngrave" w:sz="12" w:space="0" w:color="auto"/>
            </w:tcBorders>
          </w:tcPr>
          <w:p w:rsidR="007856AE" w:rsidRDefault="007856AE" w:rsidP="002C61B4">
            <w:pPr>
              <w:rPr>
                <w:rFonts w:ascii="Arial" w:hAnsi="Arial" w:cs="Arial"/>
                <w:b/>
                <w:sz w:val="28"/>
                <w:szCs w:val="28"/>
              </w:rPr>
            </w:pPr>
          </w:p>
        </w:tc>
      </w:tr>
    </w:tbl>
    <w:p w:rsidR="00C15FEE" w:rsidRDefault="00537B78" w:rsidP="00537B78">
      <w:pPr>
        <w:spacing w:after="0" w:line="240" w:lineRule="auto"/>
        <w:ind w:left="-426"/>
        <w:rPr>
          <w:b/>
        </w:rPr>
      </w:pPr>
      <w:r w:rsidRPr="003961D1">
        <w:rPr>
          <w:b/>
        </w:rPr>
        <w:lastRenderedPageBreak/>
        <w:t xml:space="preserve">Note </w:t>
      </w:r>
      <w:r w:rsidR="00C15FEE">
        <w:rPr>
          <w:b/>
        </w:rPr>
        <w:t>–</w:t>
      </w:r>
      <w:r w:rsidRPr="003961D1">
        <w:rPr>
          <w:b/>
        </w:rPr>
        <w:t xml:space="preserve"> </w:t>
      </w:r>
    </w:p>
    <w:p w:rsidR="00537B78" w:rsidRDefault="00537B78" w:rsidP="00537B78">
      <w:pPr>
        <w:spacing w:after="0" w:line="240" w:lineRule="auto"/>
        <w:ind w:left="-426"/>
      </w:pPr>
      <w:r>
        <w:t xml:space="preserve">When presenting to Deans Council, PEC and BOG be prepared to speak to how the program aligns with the following strategic considerations:         </w:t>
      </w:r>
    </w:p>
    <w:p w:rsidR="00537B78" w:rsidRPr="003961D1" w:rsidRDefault="00537B78" w:rsidP="00537B78">
      <w:pPr>
        <w:pStyle w:val="ListParagraph"/>
        <w:numPr>
          <w:ilvl w:val="0"/>
          <w:numId w:val="1"/>
        </w:numPr>
        <w:spacing w:after="0" w:line="240" w:lineRule="auto"/>
        <w:ind w:left="1077" w:hanging="357"/>
        <w:rPr>
          <w:i/>
        </w:rPr>
      </w:pPr>
      <w:r w:rsidRPr="003961D1">
        <w:rPr>
          <w:i/>
        </w:rPr>
        <w:t>SPSP recommendation, if applicable</w:t>
      </w:r>
    </w:p>
    <w:p w:rsidR="00537B78" w:rsidRPr="007B3DE4" w:rsidRDefault="00537B78" w:rsidP="00537B78">
      <w:pPr>
        <w:pStyle w:val="ListParagraph"/>
        <w:numPr>
          <w:ilvl w:val="0"/>
          <w:numId w:val="1"/>
        </w:numPr>
        <w:spacing w:after="0" w:line="240" w:lineRule="auto"/>
        <w:ind w:left="1077" w:hanging="357"/>
        <w:rPr>
          <w:i/>
        </w:rPr>
      </w:pPr>
      <w:r w:rsidRPr="007B3DE4">
        <w:rPr>
          <w:i/>
        </w:rPr>
        <w:t>Demand from an enrolment perspective, program/industry need</w:t>
      </w:r>
    </w:p>
    <w:p w:rsidR="00537B78" w:rsidRDefault="00537B78" w:rsidP="00537B78">
      <w:pPr>
        <w:pStyle w:val="ListParagraph"/>
        <w:numPr>
          <w:ilvl w:val="0"/>
          <w:numId w:val="1"/>
        </w:numPr>
        <w:spacing w:line="240" w:lineRule="auto"/>
        <w:ind w:left="1077" w:hanging="357"/>
        <w:rPr>
          <w:i/>
        </w:rPr>
      </w:pPr>
      <w:r w:rsidRPr="007B3DE4">
        <w:rPr>
          <w:i/>
        </w:rPr>
        <w:t>‘The Algonquin Experience’ characteristics</w:t>
      </w:r>
    </w:p>
    <w:p w:rsidR="00537B78" w:rsidRDefault="00537B78" w:rsidP="00537B78">
      <w:pPr>
        <w:pStyle w:val="ListParagraph"/>
        <w:numPr>
          <w:ilvl w:val="0"/>
          <w:numId w:val="1"/>
        </w:numPr>
        <w:spacing w:line="240" w:lineRule="auto"/>
        <w:ind w:left="1077" w:hanging="357"/>
        <w:rPr>
          <w:i/>
        </w:rPr>
      </w:pPr>
      <w:r>
        <w:rPr>
          <w:i/>
        </w:rPr>
        <w:t>D</w:t>
      </w:r>
      <w:r w:rsidRPr="007B3DE4">
        <w:rPr>
          <w:i/>
        </w:rPr>
        <w:t>igital College (mobile, hybrid, online)</w:t>
      </w:r>
    </w:p>
    <w:p w:rsidR="00537B78" w:rsidRDefault="00537B78" w:rsidP="00537B78">
      <w:pPr>
        <w:pStyle w:val="ListParagraph"/>
        <w:numPr>
          <w:ilvl w:val="0"/>
          <w:numId w:val="1"/>
        </w:numPr>
        <w:spacing w:line="240" w:lineRule="auto"/>
        <w:ind w:left="1077" w:hanging="357"/>
      </w:pPr>
      <w:r>
        <w:rPr>
          <w:i/>
        </w:rPr>
        <w:t>C</w:t>
      </w:r>
      <w:r w:rsidRPr="007B3DE4">
        <w:rPr>
          <w:i/>
        </w:rPr>
        <w:t xml:space="preserve">lustering and move </w:t>
      </w:r>
      <w:r>
        <w:rPr>
          <w:i/>
        </w:rPr>
        <w:t>towards a Centre of Excellence</w:t>
      </w:r>
    </w:p>
    <w:p w:rsidR="00993DF2" w:rsidRDefault="00993DF2" w:rsidP="005D51EA"/>
    <w:sectPr w:rsidR="00993DF2" w:rsidSect="007856AE">
      <w:footerReference w:type="default" r:id="rId9"/>
      <w:pgSz w:w="12240" w:h="15840"/>
      <w:pgMar w:top="1440" w:right="864" w:bottom="144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6AE" w:rsidRDefault="007856AE" w:rsidP="007856AE">
      <w:pPr>
        <w:spacing w:after="0" w:line="240" w:lineRule="auto"/>
      </w:pPr>
      <w:r>
        <w:separator/>
      </w:r>
    </w:p>
  </w:endnote>
  <w:endnote w:type="continuationSeparator" w:id="0">
    <w:p w:rsidR="007856AE" w:rsidRDefault="007856AE" w:rsidP="007856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Univers-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6AE" w:rsidRPr="007856AE" w:rsidRDefault="007856AE">
    <w:pPr>
      <w:pStyle w:val="Footer"/>
      <w:rPr>
        <w:i/>
        <w:sz w:val="16"/>
        <w:szCs w:val="16"/>
      </w:rPr>
    </w:pPr>
    <w:r w:rsidRPr="007856AE">
      <w:rPr>
        <w:i/>
        <w:sz w:val="16"/>
        <w:szCs w:val="16"/>
      </w:rPr>
      <w:t xml:space="preserve">Template Version: March </w:t>
    </w:r>
    <w:r>
      <w:rPr>
        <w:i/>
        <w:sz w:val="16"/>
        <w:szCs w:val="16"/>
      </w:rPr>
      <w:t>2012</w:t>
    </w:r>
  </w:p>
  <w:p w:rsidR="007856AE" w:rsidRDefault="007856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6AE" w:rsidRDefault="007856AE" w:rsidP="007856AE">
      <w:pPr>
        <w:spacing w:after="0" w:line="240" w:lineRule="auto"/>
      </w:pPr>
      <w:r>
        <w:separator/>
      </w:r>
    </w:p>
  </w:footnote>
  <w:footnote w:type="continuationSeparator" w:id="0">
    <w:p w:rsidR="007856AE" w:rsidRDefault="007856AE" w:rsidP="007856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61C64"/>
    <w:multiLevelType w:val="hybridMultilevel"/>
    <w:tmpl w:val="E16A6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93DF2"/>
    <w:rsid w:val="002C61B4"/>
    <w:rsid w:val="002D732A"/>
    <w:rsid w:val="0030105C"/>
    <w:rsid w:val="003D0FF0"/>
    <w:rsid w:val="004A785B"/>
    <w:rsid w:val="004E02C3"/>
    <w:rsid w:val="004F71CD"/>
    <w:rsid w:val="00525DB1"/>
    <w:rsid w:val="00537B78"/>
    <w:rsid w:val="005D51EA"/>
    <w:rsid w:val="00631C08"/>
    <w:rsid w:val="007856AE"/>
    <w:rsid w:val="007C753A"/>
    <w:rsid w:val="007D52BA"/>
    <w:rsid w:val="007E4BCD"/>
    <w:rsid w:val="008A7472"/>
    <w:rsid w:val="008F4E89"/>
    <w:rsid w:val="00954FA2"/>
    <w:rsid w:val="00993DF2"/>
    <w:rsid w:val="00A77DEA"/>
    <w:rsid w:val="00AB2042"/>
    <w:rsid w:val="00AF7DBA"/>
    <w:rsid w:val="00C15FEE"/>
    <w:rsid w:val="00C253F4"/>
    <w:rsid w:val="00CE4C75"/>
    <w:rsid w:val="00D21568"/>
    <w:rsid w:val="00DE4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D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DF2"/>
    <w:rPr>
      <w:rFonts w:ascii="Tahoma" w:hAnsi="Tahoma" w:cs="Tahoma"/>
      <w:sz w:val="16"/>
      <w:szCs w:val="16"/>
    </w:rPr>
  </w:style>
  <w:style w:type="table" w:styleId="TableGrid">
    <w:name w:val="Table Grid"/>
    <w:basedOn w:val="TableNormal"/>
    <w:uiPriority w:val="59"/>
    <w:rsid w:val="00993D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37B78"/>
    <w:pPr>
      <w:ind w:left="720"/>
      <w:contextualSpacing/>
    </w:pPr>
  </w:style>
  <w:style w:type="paragraph" w:styleId="Header">
    <w:name w:val="header"/>
    <w:basedOn w:val="Normal"/>
    <w:link w:val="HeaderChar"/>
    <w:uiPriority w:val="99"/>
    <w:semiHidden/>
    <w:unhideWhenUsed/>
    <w:rsid w:val="007856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56AE"/>
  </w:style>
  <w:style w:type="paragraph" w:styleId="Footer">
    <w:name w:val="footer"/>
    <w:basedOn w:val="Normal"/>
    <w:link w:val="FooterChar"/>
    <w:uiPriority w:val="99"/>
    <w:unhideWhenUsed/>
    <w:rsid w:val="00785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6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C3F66-3912-4178-B8A2-50A870F23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Algonquin College</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Staff</cp:lastModifiedBy>
  <cp:revision>2</cp:revision>
  <cp:lastPrinted>2010-10-12T12:24:00Z</cp:lastPrinted>
  <dcterms:created xsi:type="dcterms:W3CDTF">2012-03-06T19:59:00Z</dcterms:created>
  <dcterms:modified xsi:type="dcterms:W3CDTF">2012-03-06T19:59:00Z</dcterms:modified>
</cp:coreProperties>
</file>